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highlight w:val="none"/>
        </w:rPr>
        <w:t>1</w:t>
      </w: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《</w:t>
      </w:r>
      <w:bookmarkStart w:id="0" w:name="_GoBack"/>
      <w:r>
        <w:rPr>
          <w:rFonts w:hint="eastAsia"/>
          <w:b/>
          <w:bCs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b/>
          <w:bCs/>
          <w:kern w:val="0"/>
          <w:sz w:val="32"/>
          <w:szCs w:val="32"/>
          <w:highlight w:val="none"/>
        </w:rPr>
        <w:t>年度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中国中医科学院院直机关</w:t>
      </w:r>
      <w:r>
        <w:rPr>
          <w:b/>
          <w:bCs/>
          <w:kern w:val="0"/>
          <w:sz w:val="32"/>
          <w:szCs w:val="32"/>
          <w:highlight w:val="none"/>
        </w:rPr>
        <w:t>高校毕业生需求信息表</w:t>
      </w:r>
      <w:bookmarkEnd w:id="0"/>
      <w:r>
        <w:rPr>
          <w:b/>
          <w:bCs/>
          <w:kern w:val="0"/>
          <w:sz w:val="32"/>
          <w:szCs w:val="32"/>
          <w:highlight w:val="none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b/>
          <w:bCs/>
          <w:kern w:val="0"/>
          <w:sz w:val="32"/>
          <w:szCs w:val="32"/>
          <w:highlight w:val="none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26"/>
        <w:gridCol w:w="1271"/>
        <w:gridCol w:w="3914"/>
        <w:gridCol w:w="919"/>
        <w:gridCol w:w="2153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职位编号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部门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学历等其他要求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院直机关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哲学类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公共管理类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公共卫生与预防医学类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公共卫生与卫生管理类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京外生源。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具体岗位由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中国中医科学院统筹安排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中国中西医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结合学会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秘书处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中西医结合类，中药学类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内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  <w:t>附：专业参考范围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rPr>
          <w:rFonts w:hint="default" w:ascii="华文仿宋" w:hAnsi="华文仿宋" w:eastAsia="华文仿宋" w:cs="华文仿宋"/>
          <w:b/>
          <w:bCs/>
          <w:kern w:val="0"/>
          <w:sz w:val="32"/>
          <w:szCs w:val="32"/>
          <w:highlight w:val="none"/>
          <w:lang w:val="en-US" w:eastAsia="zh-CN"/>
        </w:r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3734"/>
        <w:gridCol w:w="6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学科门类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伦理学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科学技术哲学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土地资源管理（注：可授管理学或工学学士学位）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海关管理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公共关系学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海警后勤管理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医疗产品管理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社会医学与卫生事业管理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食品卫生与营养学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妇幼保健医学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全球健康学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劳动卫生与环境卫生学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营养与食品卫生学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儿少卫生与妇幼保健学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卫生毒理学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军事预防医学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公共卫生与卫生管理类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公共卫生与卫生管理类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公共卫生与卫生管理类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医药卫生大类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公共卫生与卫生管理类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公共卫生与卫生管理类其他专业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壮医学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中医康复学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中医养生学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中医基础理论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中医临床基础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中医医史文献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中西医结合类其他专业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中药资源与开发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藏药学（注：授予理学学士学位）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蒙药学（注：授予理学学士学位）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中草药栽培与鉴定（注：授予理学学士学位）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中药学类其他专业</w:t>
            </w:r>
          </w:p>
        </w:tc>
      </w:tr>
    </w:tbl>
    <w:p>
      <w:pPr>
        <w:pStyle w:val="2"/>
        <w:bidi w:val="0"/>
        <w:rPr>
          <w:rFonts w:hint="eastAsia"/>
          <w:lang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TM2NDMwMDZjOGIyMzQ0Y2VlNGIxY2RjNTgxOTcifQ=="/>
  </w:docVars>
  <w:rsids>
    <w:rsidRoot w:val="6D584608"/>
    <w:rsid w:val="1CA060CA"/>
    <w:rsid w:val="36FA011D"/>
    <w:rsid w:val="3E593707"/>
    <w:rsid w:val="4F415AFA"/>
    <w:rsid w:val="6D584608"/>
    <w:rsid w:val="75A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178</Characters>
  <Lines>0</Lines>
  <Paragraphs>0</Paragraphs>
  <TotalTime>18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2022-12-08T02:44:00Z</dcterms:created>
  <dc:creator>胡力捷</dc:creator>
  <cp:lastModifiedBy>胡力捷</cp:lastModifiedBy>
  <dcterms:modified xsi:type="dcterms:W3CDTF">2023-02-18T02:53:45Z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FFD3DED2C3234E59B35D0004FF0991B6</vt:lpwstr>
  </property>
</Properties>
</file>