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 xml:space="preserve">经营状况及安全性指标表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84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545"/>
        <w:gridCol w:w="1830"/>
        <w:gridCol w:w="2580"/>
        <w:gridCol w:w="1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相关数据在报告中所在页码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净资产总额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流动性比例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资产利润率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不良贷款率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注：数据来源应为已披露的2022年年度报告或者2022年经审计年度报告中的净资产总额、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资本充足率、不良贷款率、资产利润率以及人民币流动性比例，需标注相关数值在报告中所在页码的位置。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37" w:firstLineChars="918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参评银行全称（盖章）_____________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57" w:firstLineChars="1518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年   月   日 </w:t>
      </w:r>
    </w:p>
    <w:p>
      <w:pPr>
        <w:ind w:left="0" w:leftChars="0" w:firstLine="2203" w:firstLineChars="918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1F7D"/>
    <w:rsid w:val="03D14EC4"/>
    <w:rsid w:val="1A083C87"/>
    <w:rsid w:val="4F3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2021-05-26T06:49:00Z</dcterms:created>
  <dc:creator>yux</dc:creator>
  <cp:lastModifiedBy>xiaosh</cp:lastModifiedBy>
  <dcterms:modified xsi:type="dcterms:W3CDTF">2023-05-10T05:56:27Z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